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C2F2B" w14:textId="4ECE62E8" w:rsidR="003A0CD2" w:rsidRDefault="00DB772D" w:rsidP="00733CB9">
      <w:pPr>
        <w:rPr>
          <w:b/>
        </w:rPr>
      </w:pPr>
      <w:r>
        <w:rPr>
          <w:b/>
        </w:rPr>
        <w:t xml:space="preserve">Navaratri </w:t>
      </w:r>
      <w:bookmarkStart w:id="0" w:name="_GoBack"/>
      <w:bookmarkEnd w:id="0"/>
      <w:r w:rsidR="00532FA5">
        <w:rPr>
          <w:b/>
        </w:rPr>
        <w:t>Dessert Course Activity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1843"/>
        <w:gridCol w:w="1536"/>
        <w:gridCol w:w="3284"/>
        <w:gridCol w:w="1337"/>
      </w:tblGrid>
      <w:tr w:rsidR="00F0794D" w14:paraId="1AB1788E" w14:textId="77777777" w:rsidTr="00532FA5">
        <w:tc>
          <w:tcPr>
            <w:tcW w:w="4621" w:type="dxa"/>
            <w:gridSpan w:val="3"/>
          </w:tcPr>
          <w:p w14:paraId="747A6773" w14:textId="77777777" w:rsidR="00F0794D" w:rsidRPr="009B32B5" w:rsidRDefault="00F0794D" w:rsidP="00532FA5">
            <w:pPr>
              <w:rPr>
                <w:b/>
              </w:rPr>
            </w:pPr>
            <w:r w:rsidRPr="009B32B5">
              <w:rPr>
                <w:b/>
              </w:rPr>
              <w:t>Topic</w:t>
            </w:r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Navarati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Dussera</w:t>
            </w:r>
            <w:proofErr w:type="spellEnd"/>
          </w:p>
        </w:tc>
        <w:tc>
          <w:tcPr>
            <w:tcW w:w="4621" w:type="dxa"/>
            <w:gridSpan w:val="2"/>
          </w:tcPr>
          <w:p w14:paraId="16DF9706" w14:textId="77777777" w:rsidR="00F0794D" w:rsidRDefault="00F0794D" w:rsidP="00F0794D">
            <w:pPr>
              <w:rPr>
                <w:b/>
              </w:rPr>
            </w:pPr>
            <w:r>
              <w:rPr>
                <w:b/>
              </w:rPr>
              <w:t>Faith: Hindu</w:t>
            </w:r>
          </w:p>
        </w:tc>
      </w:tr>
      <w:tr w:rsidR="003A0CD2" w14:paraId="52CFE30B" w14:textId="77777777" w:rsidTr="00532FA5">
        <w:tc>
          <w:tcPr>
            <w:tcW w:w="7905" w:type="dxa"/>
            <w:gridSpan w:val="4"/>
          </w:tcPr>
          <w:p w14:paraId="256A9BFB" w14:textId="77777777" w:rsidR="003A0CD2" w:rsidRPr="00D70792" w:rsidRDefault="003A0CD2" w:rsidP="00532FA5">
            <w:r w:rsidRPr="009B32B5">
              <w:rPr>
                <w:b/>
              </w:rPr>
              <w:t>Menu</w:t>
            </w:r>
            <w:r w:rsidRPr="009B32B5">
              <w:t xml:space="preserve"> </w:t>
            </w:r>
          </w:p>
        </w:tc>
        <w:tc>
          <w:tcPr>
            <w:tcW w:w="1337" w:type="dxa"/>
          </w:tcPr>
          <w:p w14:paraId="05EEAF19" w14:textId="77777777" w:rsidR="003A0CD2" w:rsidRPr="009B32B5" w:rsidRDefault="003A0CD2" w:rsidP="00532FA5">
            <w:pPr>
              <w:rPr>
                <w:b/>
              </w:rPr>
            </w:pPr>
            <w:r>
              <w:rPr>
                <w:b/>
              </w:rPr>
              <w:t>How Long</w:t>
            </w:r>
          </w:p>
          <w:p w14:paraId="30C00D6D" w14:textId="77777777" w:rsidR="003A0CD2" w:rsidRPr="00D70792" w:rsidRDefault="003A0CD2" w:rsidP="00532FA5"/>
        </w:tc>
      </w:tr>
      <w:tr w:rsidR="003A0CD2" w14:paraId="45E5936E" w14:textId="77777777" w:rsidTr="00532FA5">
        <w:tc>
          <w:tcPr>
            <w:tcW w:w="1242" w:type="dxa"/>
          </w:tcPr>
          <w:p w14:paraId="0C45EBAD" w14:textId="77777777" w:rsidR="003A0CD2" w:rsidRDefault="003A0CD2" w:rsidP="00532FA5">
            <w:r>
              <w:t>Starter</w:t>
            </w:r>
          </w:p>
          <w:p w14:paraId="716EF4AE" w14:textId="77777777" w:rsidR="003A0CD2" w:rsidRDefault="003A0CD2" w:rsidP="00532FA5">
            <w:pPr>
              <w:rPr>
                <w:b/>
              </w:rPr>
            </w:pPr>
          </w:p>
        </w:tc>
        <w:tc>
          <w:tcPr>
            <w:tcW w:w="6663" w:type="dxa"/>
            <w:gridSpan w:val="3"/>
          </w:tcPr>
          <w:p w14:paraId="48ADB730" w14:textId="77777777" w:rsidR="003A0CD2" w:rsidRDefault="003A0CD2" w:rsidP="00532FA5">
            <w:pPr>
              <w:jc w:val="center"/>
              <w:rPr>
                <w:b/>
              </w:rPr>
            </w:pPr>
          </w:p>
        </w:tc>
        <w:tc>
          <w:tcPr>
            <w:tcW w:w="1337" w:type="dxa"/>
          </w:tcPr>
          <w:p w14:paraId="4B598F91" w14:textId="77777777" w:rsidR="003A0CD2" w:rsidRDefault="003A0CD2" w:rsidP="00532FA5">
            <w:pPr>
              <w:jc w:val="center"/>
              <w:rPr>
                <w:b/>
              </w:rPr>
            </w:pPr>
          </w:p>
        </w:tc>
      </w:tr>
      <w:tr w:rsidR="003A0CD2" w14:paraId="399AE87B" w14:textId="77777777" w:rsidTr="00532FA5">
        <w:tc>
          <w:tcPr>
            <w:tcW w:w="1242" w:type="dxa"/>
          </w:tcPr>
          <w:p w14:paraId="1355B011" w14:textId="77777777" w:rsidR="003A0CD2" w:rsidRDefault="003A0CD2" w:rsidP="00532FA5">
            <w:r>
              <w:t>Main</w:t>
            </w:r>
          </w:p>
          <w:p w14:paraId="59502C21" w14:textId="77777777" w:rsidR="003A0CD2" w:rsidRPr="00D70792" w:rsidRDefault="003A0CD2" w:rsidP="00532FA5"/>
        </w:tc>
        <w:tc>
          <w:tcPr>
            <w:tcW w:w="6663" w:type="dxa"/>
            <w:gridSpan w:val="3"/>
          </w:tcPr>
          <w:p w14:paraId="73B9D16A" w14:textId="77777777" w:rsidR="003A0CD2" w:rsidRDefault="003A0CD2" w:rsidP="00532FA5">
            <w:pPr>
              <w:jc w:val="center"/>
              <w:rPr>
                <w:b/>
              </w:rPr>
            </w:pPr>
          </w:p>
        </w:tc>
        <w:tc>
          <w:tcPr>
            <w:tcW w:w="1337" w:type="dxa"/>
          </w:tcPr>
          <w:p w14:paraId="3AA3D122" w14:textId="77777777" w:rsidR="003A0CD2" w:rsidRDefault="003A0CD2" w:rsidP="00532FA5">
            <w:pPr>
              <w:jc w:val="center"/>
              <w:rPr>
                <w:b/>
              </w:rPr>
            </w:pPr>
          </w:p>
        </w:tc>
      </w:tr>
      <w:tr w:rsidR="003A0CD2" w14:paraId="237AF9C5" w14:textId="77777777" w:rsidTr="00532FA5">
        <w:tc>
          <w:tcPr>
            <w:tcW w:w="1242" w:type="dxa"/>
          </w:tcPr>
          <w:p w14:paraId="06D59C71" w14:textId="77777777" w:rsidR="003A0CD2" w:rsidRDefault="003A0CD2" w:rsidP="00532FA5">
            <w:r>
              <w:t>Dessert</w:t>
            </w:r>
          </w:p>
          <w:p w14:paraId="4BDF41CA" w14:textId="77777777" w:rsidR="003A0CD2" w:rsidRPr="00D70792" w:rsidRDefault="003A0CD2" w:rsidP="00532FA5"/>
        </w:tc>
        <w:tc>
          <w:tcPr>
            <w:tcW w:w="6663" w:type="dxa"/>
            <w:gridSpan w:val="3"/>
          </w:tcPr>
          <w:p w14:paraId="27F61567" w14:textId="77777777" w:rsidR="00532FA5" w:rsidRPr="00532FA5" w:rsidRDefault="00532FA5" w:rsidP="00532FA5">
            <w:pPr>
              <w:rPr>
                <w:b/>
              </w:rPr>
            </w:pPr>
            <w:proofErr w:type="spellStart"/>
            <w:r w:rsidRPr="00532FA5">
              <w:rPr>
                <w:b/>
              </w:rPr>
              <w:t>Garbu</w:t>
            </w:r>
            <w:proofErr w:type="spellEnd"/>
            <w:r w:rsidRPr="00532FA5">
              <w:rPr>
                <w:b/>
              </w:rPr>
              <w:t xml:space="preserve"> </w:t>
            </w:r>
            <w:proofErr w:type="spellStart"/>
            <w:r w:rsidRPr="00532FA5">
              <w:rPr>
                <w:b/>
              </w:rPr>
              <w:t>Matki</w:t>
            </w:r>
            <w:proofErr w:type="spellEnd"/>
          </w:p>
          <w:p w14:paraId="4EEBB8B3" w14:textId="3981C59A" w:rsidR="003A0CD2" w:rsidRDefault="00532FA5" w:rsidP="00532FA5">
            <w:pPr>
              <w:rPr>
                <w:b/>
              </w:rPr>
            </w:pPr>
            <w:r>
              <w:rPr>
                <w:b/>
              </w:rPr>
              <w:t>(Terracotta pot c</w:t>
            </w:r>
            <w:r w:rsidR="00A364E7">
              <w:rPr>
                <w:b/>
              </w:rPr>
              <w:t>andle holders</w:t>
            </w:r>
            <w:r>
              <w:rPr>
                <w:b/>
              </w:rPr>
              <w:t>)</w:t>
            </w:r>
          </w:p>
        </w:tc>
        <w:tc>
          <w:tcPr>
            <w:tcW w:w="1337" w:type="dxa"/>
          </w:tcPr>
          <w:p w14:paraId="44198E75" w14:textId="77777777" w:rsidR="003A0CD2" w:rsidRDefault="00A364E7" w:rsidP="00532FA5">
            <w:pPr>
              <w:jc w:val="center"/>
              <w:rPr>
                <w:b/>
              </w:rPr>
            </w:pPr>
            <w:r>
              <w:rPr>
                <w:b/>
              </w:rPr>
              <w:t>15 – 20 minutes</w:t>
            </w:r>
          </w:p>
        </w:tc>
      </w:tr>
      <w:tr w:rsidR="003A0CD2" w14:paraId="0694728E" w14:textId="77777777" w:rsidTr="00532FA5">
        <w:tc>
          <w:tcPr>
            <w:tcW w:w="1242" w:type="dxa"/>
          </w:tcPr>
          <w:p w14:paraId="3FCCB72F" w14:textId="77777777" w:rsidR="003A0CD2" w:rsidRPr="00D70792" w:rsidRDefault="003A0CD2" w:rsidP="00532FA5">
            <w:r>
              <w:t>After Dinner Mints</w:t>
            </w:r>
          </w:p>
        </w:tc>
        <w:tc>
          <w:tcPr>
            <w:tcW w:w="6663" w:type="dxa"/>
            <w:gridSpan w:val="3"/>
          </w:tcPr>
          <w:p w14:paraId="2B9C5DE4" w14:textId="77777777" w:rsidR="003A0CD2" w:rsidRDefault="003A0CD2" w:rsidP="00532FA5">
            <w:pPr>
              <w:jc w:val="center"/>
              <w:rPr>
                <w:b/>
              </w:rPr>
            </w:pPr>
          </w:p>
        </w:tc>
        <w:tc>
          <w:tcPr>
            <w:tcW w:w="1337" w:type="dxa"/>
          </w:tcPr>
          <w:p w14:paraId="28CAC92C" w14:textId="77777777" w:rsidR="003A0CD2" w:rsidRDefault="003A0CD2" w:rsidP="00532FA5">
            <w:pPr>
              <w:jc w:val="center"/>
              <w:rPr>
                <w:b/>
              </w:rPr>
            </w:pPr>
          </w:p>
        </w:tc>
      </w:tr>
      <w:tr w:rsidR="003A0CD2" w14:paraId="33B604AE" w14:textId="77777777" w:rsidTr="00532FA5">
        <w:tc>
          <w:tcPr>
            <w:tcW w:w="1242" w:type="dxa"/>
          </w:tcPr>
          <w:p w14:paraId="07FB75B3" w14:textId="77777777" w:rsidR="003A0CD2" w:rsidRPr="009B32B5" w:rsidRDefault="003A0CD2" w:rsidP="00532FA5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6663" w:type="dxa"/>
            <w:gridSpan w:val="3"/>
          </w:tcPr>
          <w:p w14:paraId="54DF0BC6" w14:textId="77777777" w:rsidR="003A0CD2" w:rsidRDefault="003A0CD2" w:rsidP="00532FA5">
            <w:pPr>
              <w:jc w:val="right"/>
              <w:rPr>
                <w:b/>
              </w:rPr>
            </w:pPr>
          </w:p>
        </w:tc>
        <w:tc>
          <w:tcPr>
            <w:tcW w:w="1337" w:type="dxa"/>
          </w:tcPr>
          <w:p w14:paraId="0BD38A2B" w14:textId="77777777" w:rsidR="003A0CD2" w:rsidRDefault="003A0CD2" w:rsidP="00532FA5">
            <w:pPr>
              <w:jc w:val="center"/>
              <w:rPr>
                <w:b/>
              </w:rPr>
            </w:pPr>
            <w:r>
              <w:rPr>
                <w:b/>
              </w:rPr>
              <w:t>Total Time</w:t>
            </w:r>
          </w:p>
          <w:p w14:paraId="4D6841ED" w14:textId="77777777" w:rsidR="003A0CD2" w:rsidRDefault="003A0CD2" w:rsidP="00532FA5">
            <w:pPr>
              <w:jc w:val="center"/>
              <w:rPr>
                <w:b/>
              </w:rPr>
            </w:pPr>
          </w:p>
        </w:tc>
      </w:tr>
      <w:tr w:rsidR="003A0CD2" w14:paraId="242B7F08" w14:textId="77777777" w:rsidTr="00532FA5">
        <w:tc>
          <w:tcPr>
            <w:tcW w:w="9242" w:type="dxa"/>
            <w:gridSpan w:val="5"/>
          </w:tcPr>
          <w:p w14:paraId="68DE4A0B" w14:textId="77777777" w:rsidR="003A0CD2" w:rsidRDefault="003A0CD2" w:rsidP="00532FA5">
            <w:pPr>
              <w:rPr>
                <w:b/>
              </w:rPr>
            </w:pPr>
            <w:r w:rsidRPr="00E05557">
              <w:rPr>
                <w:b/>
              </w:rPr>
              <w:t>Activity Description</w:t>
            </w:r>
          </w:p>
          <w:p w14:paraId="1112BA66" w14:textId="1685A35D" w:rsidR="00EA35A0" w:rsidRDefault="00532FA5" w:rsidP="006A3F6D">
            <w:r>
              <w:t>According to Gujarat tradition, is it common to decorate a ‘</w:t>
            </w:r>
            <w:proofErr w:type="spellStart"/>
            <w:r>
              <w:t>matka</w:t>
            </w:r>
            <w:proofErr w:type="spellEnd"/>
            <w:r>
              <w:t>’ (clay pot)</w:t>
            </w:r>
            <w:r w:rsidR="006A3F6D">
              <w:t xml:space="preserve">. This can be used in a variety of ways including as a candleholder to shine the goodness of light into the darkness. </w:t>
            </w:r>
          </w:p>
          <w:p w14:paraId="1FD8E521" w14:textId="77777777" w:rsidR="003A0CD2" w:rsidRDefault="006A3F6D" w:rsidP="006A3F6D">
            <w:r>
              <w:t>Similar pots are also used in a dance known as the ‘</w:t>
            </w:r>
            <w:proofErr w:type="spellStart"/>
            <w:r>
              <w:t>garba</w:t>
            </w:r>
            <w:proofErr w:type="spellEnd"/>
            <w:r>
              <w:t>’ and the pots are decorated and called ‘</w:t>
            </w:r>
            <w:proofErr w:type="spellStart"/>
            <w:r>
              <w:t>garba</w:t>
            </w:r>
            <w:proofErr w:type="spellEnd"/>
            <w:r>
              <w:t xml:space="preserve"> </w:t>
            </w:r>
            <w:proofErr w:type="spellStart"/>
            <w:r>
              <w:t>matki</w:t>
            </w:r>
            <w:proofErr w:type="spellEnd"/>
            <w:r>
              <w:t xml:space="preserve">’. The pot is placed in the middle of a circle of people and then danced around. In this dessert, students can decorate their own </w:t>
            </w:r>
            <w:proofErr w:type="spellStart"/>
            <w:r>
              <w:t>garbu</w:t>
            </w:r>
            <w:proofErr w:type="spellEnd"/>
            <w:r>
              <w:t xml:space="preserve"> </w:t>
            </w:r>
            <w:proofErr w:type="spellStart"/>
            <w:r>
              <w:t>matki</w:t>
            </w:r>
            <w:proofErr w:type="spellEnd"/>
            <w:r>
              <w:t xml:space="preserve"> or candleholder. </w:t>
            </w:r>
          </w:p>
          <w:p w14:paraId="5EDADB42" w14:textId="77777777" w:rsidR="00EA35A0" w:rsidRDefault="00EA35A0" w:rsidP="006A3F6D"/>
          <w:p w14:paraId="438A1A9B" w14:textId="78E69F2F" w:rsidR="00EA35A0" w:rsidRDefault="00EA35A0" w:rsidP="006A3F6D">
            <w:pPr>
              <w:rPr>
                <w:b/>
              </w:rPr>
            </w:pPr>
            <w:r>
              <w:t xml:space="preserve">The significance of the pot is that the candle or light symbolises the power of the Goddess </w:t>
            </w:r>
            <w:proofErr w:type="spellStart"/>
            <w:r w:rsidR="002877DC">
              <w:t>Durga</w:t>
            </w:r>
            <w:proofErr w:type="spellEnd"/>
            <w:r w:rsidR="002877DC">
              <w:t xml:space="preserve">. </w:t>
            </w:r>
          </w:p>
        </w:tc>
      </w:tr>
      <w:tr w:rsidR="003A0CD2" w14:paraId="0E16BCD5" w14:textId="77777777" w:rsidTr="00532FA5">
        <w:tc>
          <w:tcPr>
            <w:tcW w:w="9242" w:type="dxa"/>
            <w:gridSpan w:val="5"/>
          </w:tcPr>
          <w:p w14:paraId="33B51DC3" w14:textId="77777777" w:rsidR="003A0CD2" w:rsidRDefault="003A0CD2" w:rsidP="00532FA5">
            <w:pPr>
              <w:rPr>
                <w:b/>
              </w:rPr>
            </w:pPr>
            <w:r w:rsidRPr="00E05557">
              <w:rPr>
                <w:b/>
              </w:rPr>
              <w:t>Activity Explanation</w:t>
            </w:r>
          </w:p>
          <w:p w14:paraId="5E1CB348" w14:textId="4275B3E7" w:rsidR="00E53598" w:rsidRPr="002877DC" w:rsidRDefault="006A3F6D" w:rsidP="00E53598">
            <w:r>
              <w:t xml:space="preserve">Colourful patterns are painted onto the pots and beautiful stone are also used to decorate the pots. Designs tend to </w:t>
            </w:r>
            <w:r w:rsidR="00EA35A0">
              <w:t xml:space="preserve">vary but they are extravagant and colourful. Invite the students to place their pots onto a piece of newspaper and using the resources, decorate their pots. They can use any design or idea they </w:t>
            </w:r>
            <w:proofErr w:type="gramStart"/>
            <w:r w:rsidR="00EA35A0">
              <w:t>wish,</w:t>
            </w:r>
            <w:proofErr w:type="gramEnd"/>
            <w:r w:rsidR="00EA35A0">
              <w:t xml:space="preserve"> however resource sheet two is available if they would like to see some examples. </w:t>
            </w:r>
          </w:p>
        </w:tc>
      </w:tr>
      <w:tr w:rsidR="003A0CD2" w14:paraId="6EBE8FE8" w14:textId="77777777" w:rsidTr="00532FA5">
        <w:tc>
          <w:tcPr>
            <w:tcW w:w="9242" w:type="dxa"/>
            <w:gridSpan w:val="5"/>
          </w:tcPr>
          <w:p w14:paraId="36968411" w14:textId="3FDCD0AD" w:rsidR="003A0CD2" w:rsidRPr="00EA35A0" w:rsidRDefault="003A0CD2" w:rsidP="00E53598">
            <w:pPr>
              <w:rPr>
                <w:b/>
              </w:rPr>
            </w:pPr>
            <w:r w:rsidRPr="00E05557">
              <w:rPr>
                <w:b/>
              </w:rPr>
              <w:t>Resources</w:t>
            </w:r>
            <w:r>
              <w:rPr>
                <w:b/>
              </w:rPr>
              <w:t xml:space="preserve">: </w:t>
            </w:r>
          </w:p>
          <w:p w14:paraId="0B18F23C" w14:textId="1449CD0A" w:rsidR="00EA35A0" w:rsidRDefault="00EA35A0" w:rsidP="00E53598">
            <w:r>
              <w:t xml:space="preserve">Small terracotta pots – available from garden centres. A google search will provide you with the cheapest options. </w:t>
            </w:r>
          </w:p>
          <w:p w14:paraId="2B9139FA" w14:textId="77777777" w:rsidR="00EA35A0" w:rsidRDefault="00EA35A0" w:rsidP="00E53598">
            <w:r>
              <w:t xml:space="preserve">Candles (tea-lights) </w:t>
            </w:r>
          </w:p>
          <w:p w14:paraId="524B2960" w14:textId="77777777" w:rsidR="00EA35A0" w:rsidRDefault="00EA35A0" w:rsidP="00E53598">
            <w:r>
              <w:t>Acrylic paint</w:t>
            </w:r>
            <w:r w:rsidR="003A7DC6">
              <w:t xml:space="preserve"> </w:t>
            </w:r>
          </w:p>
          <w:p w14:paraId="38D48251" w14:textId="77777777" w:rsidR="00EA35A0" w:rsidRDefault="00EA35A0" w:rsidP="00E53598">
            <w:r>
              <w:t xml:space="preserve">Brushes </w:t>
            </w:r>
          </w:p>
          <w:p w14:paraId="54A377F5" w14:textId="77777777" w:rsidR="00EA35A0" w:rsidRDefault="00EA35A0" w:rsidP="00E53598">
            <w:r>
              <w:t>T</w:t>
            </w:r>
            <w:r w:rsidR="003A7DC6">
              <w:t xml:space="preserve">able covering. </w:t>
            </w:r>
          </w:p>
          <w:p w14:paraId="554FBAD0" w14:textId="06066EFF" w:rsidR="00E53598" w:rsidRPr="005C529F" w:rsidRDefault="003A7DC6" w:rsidP="00E53598">
            <w:r>
              <w:t>Cleaning rags and water</w:t>
            </w:r>
            <w:r w:rsidR="00EA35A0">
              <w:t>.</w:t>
            </w:r>
          </w:p>
        </w:tc>
      </w:tr>
      <w:tr w:rsidR="003A0CD2" w14:paraId="3A4A1414" w14:textId="77777777" w:rsidTr="00532FA5">
        <w:tc>
          <w:tcPr>
            <w:tcW w:w="9242" w:type="dxa"/>
            <w:gridSpan w:val="5"/>
          </w:tcPr>
          <w:p w14:paraId="1FA3A906" w14:textId="26C833FB" w:rsidR="003A0CD2" w:rsidRPr="003A7DC6" w:rsidRDefault="003A0CD2" w:rsidP="00532FA5">
            <w:r w:rsidRPr="00E05557">
              <w:rPr>
                <w:b/>
              </w:rPr>
              <w:t>Learning Outcomes</w:t>
            </w:r>
            <w:r>
              <w:rPr>
                <w:b/>
              </w:rPr>
              <w:t xml:space="preserve"> </w:t>
            </w:r>
            <w:r w:rsidR="003A7DC6" w:rsidRPr="003A7DC6">
              <w:t xml:space="preserve">Students will be able to explain the significance of the light as a symbol of the power </w:t>
            </w:r>
            <w:r w:rsidR="002877DC">
              <w:t xml:space="preserve">of the Goddess </w:t>
            </w:r>
            <w:proofErr w:type="spellStart"/>
            <w:r w:rsidR="002877DC">
              <w:t>Durga</w:t>
            </w:r>
            <w:proofErr w:type="spellEnd"/>
            <w:r w:rsidR="002877DC">
              <w:t>.</w:t>
            </w:r>
          </w:p>
          <w:p w14:paraId="64981AD4" w14:textId="77777777" w:rsidR="003A0CD2" w:rsidRDefault="003A0CD2" w:rsidP="00532FA5">
            <w:pPr>
              <w:jc w:val="center"/>
              <w:rPr>
                <w:b/>
              </w:rPr>
            </w:pPr>
          </w:p>
        </w:tc>
      </w:tr>
      <w:tr w:rsidR="003A0CD2" w14:paraId="0D1D209A" w14:textId="77777777" w:rsidTr="00532FA5">
        <w:tc>
          <w:tcPr>
            <w:tcW w:w="9242" w:type="dxa"/>
            <w:gridSpan w:val="5"/>
          </w:tcPr>
          <w:p w14:paraId="46F10DAB" w14:textId="77777777" w:rsidR="003A0CD2" w:rsidRPr="00E87D73" w:rsidRDefault="003A0CD2" w:rsidP="00E53598">
            <w:r w:rsidRPr="00BF403A">
              <w:rPr>
                <w:b/>
              </w:rPr>
              <w:t>Suggested Levels</w:t>
            </w:r>
            <w:r>
              <w:rPr>
                <w:b/>
              </w:rPr>
              <w:t xml:space="preserve"> </w:t>
            </w:r>
            <w:r w:rsidR="00E87D73" w:rsidRPr="00E87D73">
              <w:t>Level 1</w:t>
            </w:r>
          </w:p>
          <w:p w14:paraId="28A64120" w14:textId="77777777" w:rsidR="00E53598" w:rsidRDefault="00E53598" w:rsidP="00E53598">
            <w:pPr>
              <w:rPr>
                <w:b/>
              </w:rPr>
            </w:pPr>
          </w:p>
        </w:tc>
      </w:tr>
      <w:tr w:rsidR="003A0CD2" w14:paraId="7D03E445" w14:textId="77777777" w:rsidTr="00532FA5">
        <w:tc>
          <w:tcPr>
            <w:tcW w:w="9242" w:type="dxa"/>
            <w:gridSpan w:val="5"/>
          </w:tcPr>
          <w:p w14:paraId="31785B5C" w14:textId="77777777" w:rsidR="003A0CD2" w:rsidRDefault="003A0CD2" w:rsidP="00E53598">
            <w:pPr>
              <w:rPr>
                <w:b/>
              </w:rPr>
            </w:pPr>
            <w:r w:rsidRPr="00BF403A">
              <w:rPr>
                <w:b/>
              </w:rPr>
              <w:t>Vocational Areas Trialled</w:t>
            </w:r>
            <w:r>
              <w:rPr>
                <w:b/>
              </w:rPr>
              <w:t xml:space="preserve"> </w:t>
            </w:r>
          </w:p>
          <w:p w14:paraId="7155A0BA" w14:textId="77777777" w:rsidR="00E53598" w:rsidRDefault="00E53598" w:rsidP="00E53598">
            <w:pPr>
              <w:rPr>
                <w:b/>
              </w:rPr>
            </w:pPr>
          </w:p>
        </w:tc>
      </w:tr>
      <w:tr w:rsidR="003A0CD2" w14:paraId="0D95BF8A" w14:textId="77777777" w:rsidTr="00532FA5">
        <w:tc>
          <w:tcPr>
            <w:tcW w:w="9242" w:type="dxa"/>
            <w:gridSpan w:val="5"/>
          </w:tcPr>
          <w:p w14:paraId="19593011" w14:textId="77777777" w:rsidR="003A0CD2" w:rsidRDefault="003A0CD2" w:rsidP="00532FA5">
            <w:pPr>
              <w:rPr>
                <w:b/>
              </w:rPr>
            </w:pPr>
            <w:r w:rsidRPr="009B32B5">
              <w:rPr>
                <w:b/>
              </w:rPr>
              <w:t>Tracking</w:t>
            </w:r>
          </w:p>
        </w:tc>
      </w:tr>
      <w:tr w:rsidR="003A0CD2" w14:paraId="5EC74143" w14:textId="77777777" w:rsidTr="00532FA5">
        <w:tc>
          <w:tcPr>
            <w:tcW w:w="3085" w:type="dxa"/>
            <w:gridSpan w:val="2"/>
          </w:tcPr>
          <w:p w14:paraId="44E1CFEC" w14:textId="77777777" w:rsidR="003A0CD2" w:rsidRPr="00BF403A" w:rsidRDefault="003A0CD2" w:rsidP="00532FA5">
            <w:pPr>
              <w:rPr>
                <w:b/>
              </w:rPr>
            </w:pPr>
            <w:r w:rsidRPr="00BF403A">
              <w:rPr>
                <w:b/>
              </w:rPr>
              <w:t xml:space="preserve">Learning Style </w:t>
            </w:r>
          </w:p>
          <w:p w14:paraId="25F272D1" w14:textId="77777777" w:rsidR="003A0CD2" w:rsidRPr="00BF403A" w:rsidRDefault="003A0CD2" w:rsidP="00532FA5">
            <w:pPr>
              <w:rPr>
                <w:b/>
              </w:rPr>
            </w:pPr>
          </w:p>
        </w:tc>
        <w:tc>
          <w:tcPr>
            <w:tcW w:w="6157" w:type="dxa"/>
            <w:gridSpan w:val="3"/>
          </w:tcPr>
          <w:p w14:paraId="612B8CD9" w14:textId="77777777" w:rsidR="003A0CD2" w:rsidRPr="005D7579" w:rsidRDefault="003A7DC6" w:rsidP="00532FA5">
            <w:r>
              <w:t>Kinaesthetic</w:t>
            </w:r>
          </w:p>
        </w:tc>
      </w:tr>
      <w:tr w:rsidR="003A0CD2" w14:paraId="63E752CD" w14:textId="77777777" w:rsidTr="00532FA5">
        <w:tc>
          <w:tcPr>
            <w:tcW w:w="3085" w:type="dxa"/>
            <w:gridSpan w:val="2"/>
          </w:tcPr>
          <w:p w14:paraId="1D1F9EC7" w14:textId="77777777" w:rsidR="003A0CD2" w:rsidRPr="00BF403A" w:rsidRDefault="003A0CD2" w:rsidP="00532FA5">
            <w:pPr>
              <w:rPr>
                <w:b/>
              </w:rPr>
            </w:pPr>
            <w:r w:rsidRPr="00BF403A">
              <w:rPr>
                <w:b/>
              </w:rPr>
              <w:t>Spiritual/Moral/Social/Cultural</w:t>
            </w:r>
          </w:p>
        </w:tc>
        <w:tc>
          <w:tcPr>
            <w:tcW w:w="6157" w:type="dxa"/>
            <w:gridSpan w:val="3"/>
          </w:tcPr>
          <w:p w14:paraId="611B004C" w14:textId="77777777" w:rsidR="00E53598" w:rsidRPr="005D7579" w:rsidRDefault="003A7DC6" w:rsidP="00E87D73">
            <w:r>
              <w:t xml:space="preserve">Students will hear the story of </w:t>
            </w:r>
            <w:proofErr w:type="spellStart"/>
            <w:r>
              <w:t>Navarati</w:t>
            </w:r>
            <w:proofErr w:type="spellEnd"/>
            <w:r>
              <w:t xml:space="preserve"> and </w:t>
            </w:r>
            <w:proofErr w:type="spellStart"/>
            <w:r>
              <w:t>Dussera</w:t>
            </w:r>
            <w:proofErr w:type="spellEnd"/>
            <w:r>
              <w:t xml:space="preserve">, and gain an understanding of the </w:t>
            </w:r>
            <w:r w:rsidR="00E87D73">
              <w:t xml:space="preserve">importance of the festival, and the </w:t>
            </w:r>
            <w:r>
              <w:t>symbol</w:t>
            </w:r>
            <w:r w:rsidR="00E87D73">
              <w:t>ic nature of the light.</w:t>
            </w:r>
          </w:p>
        </w:tc>
      </w:tr>
      <w:tr w:rsidR="003A0CD2" w14:paraId="47B84621" w14:textId="77777777" w:rsidTr="00532FA5">
        <w:tc>
          <w:tcPr>
            <w:tcW w:w="3085" w:type="dxa"/>
            <w:gridSpan w:val="2"/>
          </w:tcPr>
          <w:p w14:paraId="3C92C8CE" w14:textId="77777777" w:rsidR="003A0CD2" w:rsidRPr="00BF403A" w:rsidRDefault="003A0CD2" w:rsidP="00532FA5">
            <w:pPr>
              <w:rPr>
                <w:b/>
              </w:rPr>
            </w:pPr>
            <w:r w:rsidRPr="00BF403A">
              <w:rPr>
                <w:b/>
              </w:rPr>
              <w:t>Equality and Diversity</w:t>
            </w:r>
          </w:p>
        </w:tc>
        <w:tc>
          <w:tcPr>
            <w:tcW w:w="6157" w:type="dxa"/>
            <w:gridSpan w:val="3"/>
          </w:tcPr>
          <w:p w14:paraId="662E647F" w14:textId="77777777" w:rsidR="003A0CD2" w:rsidRDefault="00E87D73" w:rsidP="00532FA5">
            <w:r>
              <w:t>Some students may need help with painting.</w:t>
            </w:r>
          </w:p>
          <w:p w14:paraId="1CD237ED" w14:textId="77777777" w:rsidR="00E53598" w:rsidRPr="005C529F" w:rsidRDefault="00E53598" w:rsidP="00532FA5"/>
        </w:tc>
      </w:tr>
      <w:tr w:rsidR="003A0CD2" w14:paraId="6FEA5104" w14:textId="77777777" w:rsidTr="00532FA5">
        <w:tc>
          <w:tcPr>
            <w:tcW w:w="3085" w:type="dxa"/>
            <w:gridSpan w:val="2"/>
          </w:tcPr>
          <w:p w14:paraId="03674153" w14:textId="77777777" w:rsidR="003A0CD2" w:rsidRPr="00BF403A" w:rsidRDefault="003A0CD2" w:rsidP="00532FA5">
            <w:pPr>
              <w:rPr>
                <w:b/>
              </w:rPr>
            </w:pPr>
            <w:r w:rsidRPr="00BF403A">
              <w:rPr>
                <w:b/>
              </w:rPr>
              <w:t>Health and Safety</w:t>
            </w:r>
          </w:p>
        </w:tc>
        <w:tc>
          <w:tcPr>
            <w:tcW w:w="6157" w:type="dxa"/>
            <w:gridSpan w:val="3"/>
          </w:tcPr>
          <w:p w14:paraId="2B41BEC2" w14:textId="77777777" w:rsidR="003A0CD2" w:rsidRDefault="003A7DC6" w:rsidP="00532FA5">
            <w:r>
              <w:t>Care will need to be taken in a classroom that paint is not spilt, and where necessary protective covering for tables, and clothing provided.</w:t>
            </w:r>
          </w:p>
          <w:p w14:paraId="143FD565" w14:textId="77777777" w:rsidR="00E53598" w:rsidRPr="005C529F" w:rsidRDefault="00E53598" w:rsidP="00532FA5"/>
        </w:tc>
      </w:tr>
      <w:tr w:rsidR="003A0CD2" w14:paraId="1AA64E00" w14:textId="77777777" w:rsidTr="00532FA5">
        <w:tc>
          <w:tcPr>
            <w:tcW w:w="3085" w:type="dxa"/>
            <w:gridSpan w:val="2"/>
          </w:tcPr>
          <w:p w14:paraId="0B32F1AE" w14:textId="77777777" w:rsidR="003A0CD2" w:rsidRPr="00BF403A" w:rsidRDefault="003A0CD2" w:rsidP="00532FA5">
            <w:pPr>
              <w:rPr>
                <w:b/>
              </w:rPr>
            </w:pPr>
            <w:r w:rsidRPr="00BF403A">
              <w:rPr>
                <w:b/>
              </w:rPr>
              <w:t>Risk Assessment</w:t>
            </w:r>
          </w:p>
        </w:tc>
        <w:tc>
          <w:tcPr>
            <w:tcW w:w="6157" w:type="dxa"/>
            <w:gridSpan w:val="3"/>
          </w:tcPr>
          <w:p w14:paraId="3C6E50FD" w14:textId="77777777" w:rsidR="003A0CD2" w:rsidRDefault="00E87D73" w:rsidP="00532FA5">
            <w:pPr>
              <w:rPr>
                <w:b/>
              </w:rPr>
            </w:pPr>
            <w:r>
              <w:rPr>
                <w:b/>
              </w:rPr>
              <w:t>Low</w:t>
            </w:r>
          </w:p>
          <w:p w14:paraId="6F25DD43" w14:textId="77777777" w:rsidR="00E53598" w:rsidRDefault="00E53598" w:rsidP="00532FA5">
            <w:pPr>
              <w:rPr>
                <w:b/>
              </w:rPr>
            </w:pPr>
          </w:p>
        </w:tc>
      </w:tr>
    </w:tbl>
    <w:p w14:paraId="397707F9" w14:textId="77777777" w:rsidR="00E53598" w:rsidRDefault="00E53598" w:rsidP="003A0CD2">
      <w:pPr>
        <w:rPr>
          <w:b/>
        </w:rPr>
      </w:pPr>
    </w:p>
    <w:sectPr w:rsidR="00E53598" w:rsidSect="00231E83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69B0A8" w14:textId="77777777" w:rsidR="002877DC" w:rsidRDefault="002877DC" w:rsidP="00231E83">
      <w:pPr>
        <w:spacing w:after="0" w:line="240" w:lineRule="auto"/>
      </w:pPr>
      <w:r>
        <w:separator/>
      </w:r>
    </w:p>
  </w:endnote>
  <w:endnote w:type="continuationSeparator" w:id="0">
    <w:p w14:paraId="5FFC722A" w14:textId="77777777" w:rsidR="002877DC" w:rsidRDefault="002877DC" w:rsidP="00231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9B034" w14:textId="77777777" w:rsidR="002877DC" w:rsidRDefault="002877DC" w:rsidP="00231E83">
      <w:pPr>
        <w:spacing w:after="0" w:line="240" w:lineRule="auto"/>
      </w:pPr>
      <w:r>
        <w:separator/>
      </w:r>
    </w:p>
  </w:footnote>
  <w:footnote w:type="continuationSeparator" w:id="0">
    <w:p w14:paraId="5B3CE0FB" w14:textId="77777777" w:rsidR="002877DC" w:rsidRDefault="002877DC" w:rsidP="00231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964CD"/>
    <w:multiLevelType w:val="hybridMultilevel"/>
    <w:tmpl w:val="A22E3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D1527"/>
    <w:multiLevelType w:val="hybridMultilevel"/>
    <w:tmpl w:val="537892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B7EE8"/>
    <w:multiLevelType w:val="hybridMultilevel"/>
    <w:tmpl w:val="9E6617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66E21"/>
    <w:multiLevelType w:val="hybridMultilevel"/>
    <w:tmpl w:val="68B8CB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9206E8"/>
    <w:multiLevelType w:val="hybridMultilevel"/>
    <w:tmpl w:val="6B18DF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97726"/>
    <w:multiLevelType w:val="hybridMultilevel"/>
    <w:tmpl w:val="7590A5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D51C2"/>
    <w:multiLevelType w:val="hybridMultilevel"/>
    <w:tmpl w:val="A022E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721E74"/>
    <w:multiLevelType w:val="hybridMultilevel"/>
    <w:tmpl w:val="E9DC51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7F58"/>
    <w:rsid w:val="0005762B"/>
    <w:rsid w:val="000F27BE"/>
    <w:rsid w:val="00127A65"/>
    <w:rsid w:val="0013326E"/>
    <w:rsid w:val="001468A2"/>
    <w:rsid w:val="001E2D28"/>
    <w:rsid w:val="00231E83"/>
    <w:rsid w:val="002701A9"/>
    <w:rsid w:val="002877DC"/>
    <w:rsid w:val="002A076E"/>
    <w:rsid w:val="002F79C9"/>
    <w:rsid w:val="00302E8F"/>
    <w:rsid w:val="003A0CD2"/>
    <w:rsid w:val="003A7DC6"/>
    <w:rsid w:val="003D2B5A"/>
    <w:rsid w:val="003E34DA"/>
    <w:rsid w:val="00430142"/>
    <w:rsid w:val="00440312"/>
    <w:rsid w:val="00467325"/>
    <w:rsid w:val="00532FA5"/>
    <w:rsid w:val="00637821"/>
    <w:rsid w:val="00657EE9"/>
    <w:rsid w:val="00680701"/>
    <w:rsid w:val="006A3F6D"/>
    <w:rsid w:val="00702C4E"/>
    <w:rsid w:val="00733CB9"/>
    <w:rsid w:val="0077644E"/>
    <w:rsid w:val="007E2E27"/>
    <w:rsid w:val="00863C5C"/>
    <w:rsid w:val="00900088"/>
    <w:rsid w:val="0090387A"/>
    <w:rsid w:val="00915D4E"/>
    <w:rsid w:val="00966BA0"/>
    <w:rsid w:val="009B359B"/>
    <w:rsid w:val="009D4DF6"/>
    <w:rsid w:val="009E774E"/>
    <w:rsid w:val="009F0870"/>
    <w:rsid w:val="00A11FBB"/>
    <w:rsid w:val="00A34CCC"/>
    <w:rsid w:val="00A364E7"/>
    <w:rsid w:val="00A40007"/>
    <w:rsid w:val="00AB5375"/>
    <w:rsid w:val="00B66992"/>
    <w:rsid w:val="00CC26C3"/>
    <w:rsid w:val="00CD0DC8"/>
    <w:rsid w:val="00CF3B86"/>
    <w:rsid w:val="00D137C8"/>
    <w:rsid w:val="00D63183"/>
    <w:rsid w:val="00DA54AC"/>
    <w:rsid w:val="00DB772D"/>
    <w:rsid w:val="00DF7F58"/>
    <w:rsid w:val="00E53598"/>
    <w:rsid w:val="00E87D73"/>
    <w:rsid w:val="00EA35A0"/>
    <w:rsid w:val="00EB4D35"/>
    <w:rsid w:val="00EE1672"/>
    <w:rsid w:val="00F0794D"/>
    <w:rsid w:val="00F11D4C"/>
    <w:rsid w:val="00F4685C"/>
    <w:rsid w:val="00F5365F"/>
    <w:rsid w:val="00F5641D"/>
    <w:rsid w:val="00F56439"/>
    <w:rsid w:val="00F5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B2506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6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807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070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E2E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31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1E83"/>
  </w:style>
  <w:style w:type="paragraph" w:styleId="Footer">
    <w:name w:val="footer"/>
    <w:basedOn w:val="Normal"/>
    <w:link w:val="FooterChar"/>
    <w:uiPriority w:val="99"/>
    <w:semiHidden/>
    <w:unhideWhenUsed/>
    <w:rsid w:val="00231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1E8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5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315</Words>
  <Characters>1797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Moyra CSF</dc:creator>
  <cp:lastModifiedBy>Stephen Blyth</cp:lastModifiedBy>
  <cp:revision>8</cp:revision>
  <dcterms:created xsi:type="dcterms:W3CDTF">2010-09-06T14:14:00Z</dcterms:created>
  <dcterms:modified xsi:type="dcterms:W3CDTF">2013-03-01T10:22:00Z</dcterms:modified>
</cp:coreProperties>
</file>